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36F6" w:rsidRDefault="00816E5C" w:rsidP="00FC36F6">
      <w:pPr>
        <w:tabs>
          <w:tab w:val="left" w:pos="270"/>
        </w:tabs>
        <w:jc w:val="center"/>
        <w:rPr>
          <w:rFonts w:ascii="Arial" w:eastAsiaTheme="majorEastAsia" w:hAnsi="Arial" w:cstheme="majorBidi"/>
          <w:b/>
          <w:bCs/>
          <w:color w:val="0079C2"/>
          <w:sz w:val="36"/>
          <w:szCs w:val="36"/>
        </w:rPr>
      </w:pPr>
      <w:r>
        <w:rPr>
          <w:rFonts w:ascii="Arial" w:eastAsiaTheme="majorEastAsia" w:hAnsi="Arial" w:cstheme="majorBidi"/>
          <w:b/>
          <w:bCs/>
          <w:noProof/>
          <w:color w:val="0079C2"/>
          <w:sz w:val="36"/>
          <w:szCs w:val="36"/>
          <w:lang w:val="it-IT" w:eastAsia="zh-TW" w:bidi="he-I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2045335</wp:posOffset>
            </wp:positionH>
            <wp:positionV relativeFrom="paragraph">
              <wp:posOffset>85725</wp:posOffset>
            </wp:positionV>
            <wp:extent cx="792480" cy="789940"/>
            <wp:effectExtent l="19050" t="0" r="7620" b="0"/>
            <wp:wrapSquare wrapText="bothSides"/>
            <wp:docPr id="4" name="Picture 3" descr="Docs:Publicity:Active:Press Kits for Web Upload:2016:Intergeo:Topcon_Press-Kit_Delta:Delta_Link_VMT_Software_Monitor 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cs:Publicity:Active:Press Kits for Web Upload:2016:Intergeo:Topcon_Press-Kit_Delta:Delta_Link_VMT_Software_Monitor thum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480" cy="7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Theme="majorEastAsia" w:hAnsi="Arial" w:cstheme="majorBidi"/>
          <w:b/>
          <w:bCs/>
          <w:noProof/>
          <w:color w:val="0079C2"/>
          <w:sz w:val="36"/>
          <w:szCs w:val="36"/>
          <w:lang w:val="it-IT" w:eastAsia="zh-TW" w:bidi="he-I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3186430</wp:posOffset>
            </wp:positionH>
            <wp:positionV relativeFrom="paragraph">
              <wp:posOffset>87630</wp:posOffset>
            </wp:positionV>
            <wp:extent cx="727075" cy="819150"/>
            <wp:effectExtent l="19050" t="0" r="0" b="0"/>
            <wp:wrapSquare wrapText="bothSides"/>
            <wp:docPr id="9" name="Picture 4" descr="Docs:Publicity:Active:Press Kits for Web Upload:2016:Intergeo:Topcon_Press-Kit_Delta:Delta_MS_AXII_overpass 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ocs:Publicity:Active:Press Kits for Web Upload:2016:Intergeo:Topcon_Press-Kit_Delta:Delta_MS_AXII_overpass thumb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16E5C" w:rsidRDefault="00816E5C" w:rsidP="00816E5C">
      <w:pPr>
        <w:tabs>
          <w:tab w:val="left" w:pos="270"/>
        </w:tabs>
        <w:jc w:val="center"/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</w:pPr>
    </w:p>
    <w:p w:rsidR="00816E5C" w:rsidRDefault="00816E5C" w:rsidP="00816E5C">
      <w:pPr>
        <w:tabs>
          <w:tab w:val="left" w:pos="270"/>
        </w:tabs>
        <w:jc w:val="center"/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</w:pPr>
    </w:p>
    <w:p w:rsidR="00816E5C" w:rsidRDefault="00816E5C" w:rsidP="00816E5C">
      <w:pPr>
        <w:tabs>
          <w:tab w:val="left" w:pos="270"/>
        </w:tabs>
        <w:jc w:val="center"/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</w:pPr>
    </w:p>
    <w:p w:rsidR="00994B32" w:rsidRPr="00B81610" w:rsidRDefault="00816E5C" w:rsidP="00816E5C">
      <w:pPr>
        <w:tabs>
          <w:tab w:val="left" w:pos="270"/>
        </w:tabs>
        <w:jc w:val="center"/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</w:pPr>
      <w:r w:rsidRPr="00816E5C"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  <w:t xml:space="preserve">Topcon annuncia </w:t>
      </w:r>
      <w:r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  <w:t xml:space="preserve">il rilascio </w:t>
      </w:r>
      <w:r w:rsidRPr="00816E5C"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  <w:t>di una soluzione per il monitoraggio delle deformazioni</w:t>
      </w:r>
    </w:p>
    <w:p w:rsidR="00C81D46" w:rsidRPr="00B81610" w:rsidRDefault="00C81D46" w:rsidP="00C81D46">
      <w:pPr>
        <w:tabs>
          <w:tab w:val="left" w:pos="270"/>
        </w:tabs>
        <w:rPr>
          <w:rFonts w:ascii="Arial" w:hAnsi="Arial"/>
          <w:i/>
          <w:color w:val="000000"/>
          <w:sz w:val="14"/>
          <w:szCs w:val="20"/>
          <w:lang w:val="it-IT"/>
        </w:rPr>
      </w:pPr>
    </w:p>
    <w:p w:rsidR="00816E5C" w:rsidRPr="00816E5C" w:rsidRDefault="00816E5C" w:rsidP="00D22A86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i/>
          <w:iCs/>
          <w:color w:val="000000"/>
          <w:sz w:val="20"/>
          <w:szCs w:val="20"/>
          <w:lang w:val="it-IT"/>
        </w:rPr>
        <w:t xml:space="preserve">LIVERMORE, </w:t>
      </w:r>
      <w:proofErr w:type="spellStart"/>
      <w:r w:rsidRPr="00816E5C">
        <w:rPr>
          <w:rFonts w:ascii="Arial" w:hAnsi="Arial"/>
          <w:i/>
          <w:iCs/>
          <w:color w:val="000000"/>
          <w:sz w:val="20"/>
          <w:szCs w:val="20"/>
          <w:lang w:val="it-IT"/>
        </w:rPr>
        <w:t>Calif</w:t>
      </w:r>
      <w:proofErr w:type="spellEnd"/>
      <w:r w:rsidRPr="00816E5C">
        <w:rPr>
          <w:rFonts w:ascii="Arial" w:hAnsi="Arial"/>
          <w:i/>
          <w:iCs/>
          <w:color w:val="000000"/>
          <w:sz w:val="20"/>
          <w:szCs w:val="20"/>
          <w:lang w:val="it-IT"/>
        </w:rPr>
        <w:t xml:space="preserve">., USA/ CAPELLE A/D IJSSEL, Paesi Bassi – 11 ottobre 2016 –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Topcon Positioning Group annuncia </w:t>
      </w:r>
      <w:r>
        <w:rPr>
          <w:rFonts w:ascii="Arial" w:hAnsi="Arial"/>
          <w:color w:val="000000"/>
          <w:sz w:val="20"/>
          <w:szCs w:val="20"/>
          <w:lang w:val="it-IT"/>
        </w:rPr>
        <w:t>il rilascio</w:t>
      </w:r>
      <w:r w:rsidR="00D22A86">
        <w:rPr>
          <w:rFonts w:ascii="Arial" w:hAnsi="Arial"/>
          <w:color w:val="000000"/>
          <w:sz w:val="20"/>
          <w:szCs w:val="20"/>
          <w:lang w:val="it-IT"/>
        </w:rPr>
        <w:t xml:space="preserve"> di </w:t>
      </w:r>
      <w:r w:rsidR="00933054">
        <w:fldChar w:fldCharType="begin"/>
      </w:r>
      <w:r w:rsidR="00933054" w:rsidRPr="00D22A86">
        <w:rPr>
          <w:lang w:val="it-IT"/>
        </w:rPr>
        <w:instrText>HYPERLINK "https://www.topconpositioning.com/en-na/software-solutions/monitoring-software/delta-solutions"</w:instrText>
      </w:r>
      <w:r w:rsidR="00933054">
        <w:fldChar w:fldCharType="separate"/>
      </w:r>
      <w:r w:rsidRPr="00816E5C">
        <w:rPr>
          <w:rStyle w:val="Collegamentoipertestuale"/>
          <w:rFonts w:ascii="Arial" w:hAnsi="Arial"/>
          <w:sz w:val="20"/>
          <w:szCs w:val="20"/>
          <w:lang w:val="it-IT"/>
        </w:rPr>
        <w:t xml:space="preserve">Delta </w:t>
      </w:r>
      <w:proofErr w:type="spellStart"/>
      <w:r w:rsidRPr="00816E5C">
        <w:rPr>
          <w:rStyle w:val="Collegamentoipertestuale"/>
          <w:rFonts w:ascii="Arial" w:hAnsi="Arial"/>
          <w:sz w:val="20"/>
          <w:szCs w:val="20"/>
          <w:lang w:val="it-IT"/>
        </w:rPr>
        <w:t>Solutions</w:t>
      </w:r>
      <w:proofErr w:type="spellEnd"/>
      <w:r w:rsidR="00933054">
        <w:fldChar w:fldCharType="end"/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, il suo nuovo sistema di monitoraggio delle deformazioni. Utilizzando un sistema formato da componenti software e hardware (Delta Link, Delta Log, 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Watch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, 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Sat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e la stazione totale MS AXII) 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Solutions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è stato ideato per fornire misurazioni di monitoraggio accurate e affidabili e un reporting associato</w:t>
      </w:r>
      <w:r w:rsidR="005B1A48">
        <w:rPr>
          <w:rFonts w:ascii="Arial" w:hAnsi="Arial"/>
          <w:color w:val="000000"/>
          <w:sz w:val="20"/>
          <w:szCs w:val="20"/>
          <w:lang w:val="it-IT"/>
        </w:rPr>
        <w:t>,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per la tutela de</w:t>
      </w:r>
      <w:r>
        <w:rPr>
          <w:rFonts w:ascii="Arial" w:hAnsi="Arial"/>
          <w:color w:val="000000"/>
          <w:sz w:val="20"/>
          <w:szCs w:val="20"/>
          <w:lang w:val="it-IT"/>
        </w:rPr>
        <w:t xml:space="preserve">gli </w:t>
      </w:r>
      <w:proofErr w:type="spellStart"/>
      <w:r>
        <w:rPr>
          <w:rFonts w:ascii="Arial" w:hAnsi="Arial"/>
          <w:color w:val="000000"/>
          <w:sz w:val="20"/>
          <w:szCs w:val="20"/>
          <w:lang w:val="it-IT"/>
        </w:rPr>
        <w:t>asset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>.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5B1A48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Il sistema utilizza la stazione totale Topcon </w:t>
      </w:r>
      <w:hyperlink r:id="rId10" w:history="1">
        <w:r w:rsidRPr="00DA4F99">
          <w:rPr>
            <w:rStyle w:val="Collegamentoipertestuale"/>
            <w:rFonts w:ascii="Arial" w:hAnsi="Arial"/>
            <w:sz w:val="20"/>
            <w:szCs w:val="20"/>
            <w:lang w:val="it-IT"/>
          </w:rPr>
          <w:t>MS AXII</w:t>
        </w:r>
      </w:hyperlink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unita al software Topcon 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Watch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realizzato per monitorare, gestire e valutare i dati di monitoraggio oltre ad attivare facoltativamente allarm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 xml:space="preserve">i. “Come software indipendente,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Watch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off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re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dati accurati e affidabili in una serie di formati di report per soddisfare al meglio le esigenze di progetto, ha affermato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Ian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Stilgoe, vice presidente della gestione del portafoglio </w:t>
      </w:r>
      <w:r w:rsidR="005B1A48">
        <w:rPr>
          <w:rFonts w:ascii="Arial" w:hAnsi="Arial"/>
          <w:color w:val="000000"/>
          <w:sz w:val="20"/>
          <w:szCs w:val="20"/>
          <w:lang w:val="it-IT"/>
        </w:rPr>
        <w:t xml:space="preserve">di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Topcon Positioning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 xml:space="preserve"> Group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. “I dati provenienti dall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e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stazion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i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total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i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, dai ricevitori GNSS, dai dispositiv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i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di livellamento e dai sensori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,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possono essere elaborat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i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e analizzati singolarmente o come soluzion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i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 xml:space="preserve">di </w:t>
      </w:r>
      <w:r w:rsidR="005B1A48">
        <w:rPr>
          <w:rFonts w:ascii="Arial" w:hAnsi="Arial"/>
          <w:color w:val="000000"/>
          <w:sz w:val="20"/>
          <w:szCs w:val="20"/>
          <w:lang w:val="it-IT"/>
        </w:rPr>
        <w:t xml:space="preserve">rete 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compensa</w:t>
      </w:r>
      <w:r w:rsidR="005B1A48">
        <w:rPr>
          <w:rFonts w:ascii="Arial" w:hAnsi="Arial"/>
          <w:color w:val="000000"/>
          <w:sz w:val="20"/>
          <w:szCs w:val="20"/>
          <w:lang w:val="it-IT"/>
        </w:rPr>
        <w:t>ta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.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DA4F99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“Topcon Delta Link 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 xml:space="preserve">offre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una comunicazione di supporto all’hardware per un funzionamento autonomo sul ca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mpo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,” ha affermato. “Delta Link gestisce ogni fonte di alimentazione massimizzando la disponibilità del sistema.”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Le opzioni di comunicazione includono Ethernet,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Wi-Fi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e un modem cellulare integrato approvato a livello globale.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5B1A48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Delta Log, a cui si può accedere tramite un portale web sicuro, è realizzato per fornire un’interfaccia intuitiva per gestire le osservazioni, i tipi 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 xml:space="preserve">di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target e la programmazione delle misurazioni. “Delta Log offre una piattaforma semplice per funzionalità avanzate: funzioni esclusive Topcon</w:t>
      </w:r>
      <w:r w:rsidR="005B1A48">
        <w:rPr>
          <w:rFonts w:ascii="Arial" w:hAnsi="Arial"/>
          <w:color w:val="000000"/>
          <w:sz w:val="20"/>
          <w:szCs w:val="20"/>
          <w:lang w:val="it-IT"/>
        </w:rPr>
        <w:t xml:space="preserve">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come </w:t>
      </w:r>
      <w:r w:rsidR="00DA4F99">
        <w:rPr>
          <w:rFonts w:ascii="Arial" w:hAnsi="Arial"/>
          <w:color w:val="000000"/>
          <w:sz w:val="20"/>
          <w:szCs w:val="20"/>
          <w:lang w:val="it-IT"/>
        </w:rPr>
        <w:t>la '</w:t>
      </w:r>
      <w:proofErr w:type="spellStart"/>
      <w:r w:rsidR="00DA4F99">
        <w:rPr>
          <w:rFonts w:ascii="Arial" w:hAnsi="Arial"/>
          <w:color w:val="000000"/>
          <w:sz w:val="20"/>
          <w:szCs w:val="20"/>
          <w:lang w:val="it-IT"/>
        </w:rPr>
        <w:t>matrix</w:t>
      </w:r>
      <w:proofErr w:type="spellEnd"/>
      <w:r w:rsidR="00DA4F99">
        <w:rPr>
          <w:rFonts w:ascii="Arial" w:hAnsi="Arial"/>
          <w:color w:val="000000"/>
          <w:sz w:val="20"/>
          <w:szCs w:val="20"/>
          <w:lang w:val="it-IT"/>
        </w:rPr>
        <w:t xml:space="preserve"> detection'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vengono controllate intuitivamente attraverso il software,” ha affermato Stilgoe.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5B1A48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“Delta Log continuerà a far funzionare la stazione totale nel caso in cui dovesse venire meno la comunicazione con il database 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Watch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>,” ha affermato. “Una volta ripristinata la comunicazione,</w:t>
      </w:r>
      <w:r w:rsidR="005B1A48">
        <w:rPr>
          <w:rFonts w:ascii="Arial" w:hAnsi="Arial"/>
          <w:color w:val="000000"/>
          <w:sz w:val="20"/>
          <w:szCs w:val="20"/>
          <w:lang w:val="it-IT"/>
        </w:rPr>
        <w:t xml:space="preserve">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i dati vengono sincronizzati e il database principale viene aggiornato.”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713F0D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Watch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include il modulo di elaborazione facoltativo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DeltaSatGNSS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>, che consente il monitoraggio GNSS indipendent</w:t>
      </w:r>
      <w:r w:rsidR="00713F0D">
        <w:rPr>
          <w:rFonts w:ascii="Arial" w:hAnsi="Arial"/>
          <w:color w:val="000000"/>
          <w:sz w:val="20"/>
          <w:szCs w:val="20"/>
          <w:lang w:val="it-IT"/>
        </w:rPr>
        <w:t>e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o combinat</w:t>
      </w:r>
      <w:r w:rsidR="00F00288">
        <w:rPr>
          <w:rFonts w:ascii="Arial" w:hAnsi="Arial"/>
          <w:color w:val="000000"/>
          <w:sz w:val="20"/>
          <w:szCs w:val="20"/>
          <w:lang w:val="it-IT"/>
        </w:rPr>
        <w:t xml:space="preserve">o </w:t>
      </w:r>
      <w:r w:rsidR="00713F0D">
        <w:rPr>
          <w:rFonts w:ascii="Arial" w:hAnsi="Arial"/>
          <w:color w:val="000000"/>
          <w:sz w:val="20"/>
          <w:szCs w:val="20"/>
          <w:lang w:val="it-IT"/>
        </w:rPr>
        <w:t xml:space="preserve">con </w:t>
      </w:r>
      <w:r w:rsidR="00F00288">
        <w:rPr>
          <w:rFonts w:ascii="Arial" w:hAnsi="Arial"/>
          <w:color w:val="000000"/>
          <w:sz w:val="20"/>
          <w:szCs w:val="20"/>
          <w:lang w:val="it-IT"/>
        </w:rPr>
        <w:t>compensazione di ret</w:t>
      </w:r>
      <w:r w:rsidR="00713F0D">
        <w:rPr>
          <w:rFonts w:ascii="Arial" w:hAnsi="Arial"/>
          <w:color w:val="000000"/>
          <w:sz w:val="20"/>
          <w:szCs w:val="20"/>
          <w:lang w:val="it-IT"/>
        </w:rPr>
        <w:t>e,</w:t>
      </w:r>
      <w:r w:rsidR="00F00288">
        <w:rPr>
          <w:rFonts w:ascii="Arial" w:hAnsi="Arial"/>
          <w:color w:val="000000"/>
          <w:sz w:val="20"/>
          <w:szCs w:val="20"/>
          <w:lang w:val="it-IT"/>
        </w:rPr>
        <w:t xml:space="preserve"> GNSS e stazione totale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.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816E5C" w:rsidRPr="00816E5C" w:rsidRDefault="00816E5C" w:rsidP="00F00288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Topcon Delta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Solutions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</w:t>
      </w:r>
      <w:r w:rsidR="00F00288">
        <w:rPr>
          <w:rFonts w:ascii="Arial" w:hAnsi="Arial"/>
          <w:color w:val="000000"/>
          <w:sz w:val="20"/>
          <w:szCs w:val="20"/>
          <w:lang w:val="it-IT"/>
        </w:rPr>
        <w:t xml:space="preserve">è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il risultato di una partnership tra Topcon e l</w:t>
      </w:r>
      <w:r w:rsidR="00F00288">
        <w:rPr>
          <w:rFonts w:ascii="Arial" w:hAnsi="Arial"/>
          <w:color w:val="000000"/>
          <w:sz w:val="20"/>
          <w:szCs w:val="20"/>
          <w:lang w:val="it-IT"/>
        </w:rPr>
        <w:t xml:space="preserve">o specialista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di monitoraggio delle deformazioni e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tunneling</w:t>
      </w:r>
      <w:proofErr w:type="spellEnd"/>
      <w:r w:rsidR="00713F0D">
        <w:rPr>
          <w:rFonts w:ascii="Arial" w:hAnsi="Arial"/>
          <w:color w:val="000000"/>
          <w:sz w:val="20"/>
          <w:szCs w:val="20"/>
          <w:lang w:val="it-IT"/>
        </w:rPr>
        <w:t>,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</w:t>
      </w:r>
      <w:r w:rsidR="00F00288">
        <w:rPr>
          <w:rFonts w:ascii="Arial" w:hAnsi="Arial"/>
          <w:color w:val="000000"/>
          <w:sz w:val="20"/>
          <w:szCs w:val="20"/>
          <w:lang w:val="it-IT"/>
        </w:rPr>
        <w:t xml:space="preserve">VMT </w:t>
      </w:r>
      <w:r w:rsidRPr="00816E5C">
        <w:rPr>
          <w:rFonts w:ascii="Arial" w:hAnsi="Arial"/>
          <w:color w:val="000000"/>
          <w:sz w:val="20"/>
          <w:szCs w:val="20"/>
          <w:lang w:val="it-IT"/>
        </w:rPr>
        <w:t>GmbH.</w:t>
      </w:r>
    </w:p>
    <w:p w:rsidR="00816E5C" w:rsidRPr="00816E5C" w:rsidRDefault="00816E5C" w:rsidP="00816E5C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2339AA" w:rsidRPr="00816E5C" w:rsidRDefault="00816E5C" w:rsidP="00713F0D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Per maggiori informazioni,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visitar</w:t>
      </w:r>
      <w:r w:rsidR="00713F0D">
        <w:rPr>
          <w:rFonts w:ascii="Arial" w:hAnsi="Arial"/>
          <w:color w:val="000000"/>
          <w:sz w:val="20"/>
          <w:szCs w:val="20"/>
          <w:lang w:val="it-IT"/>
        </w:rPr>
        <w:t>t</w:t>
      </w:r>
      <w:proofErr w:type="spellEnd"/>
      <w:r w:rsidRPr="00816E5C">
        <w:rPr>
          <w:rFonts w:ascii="Arial" w:hAnsi="Arial"/>
          <w:color w:val="000000"/>
          <w:sz w:val="20"/>
          <w:szCs w:val="20"/>
          <w:lang w:val="it-IT"/>
        </w:rPr>
        <w:t xml:space="preserve"> il sito </w:t>
      </w:r>
      <w:proofErr w:type="spellStart"/>
      <w:r w:rsidRPr="00816E5C">
        <w:rPr>
          <w:rFonts w:ascii="Arial" w:hAnsi="Arial"/>
          <w:color w:val="000000"/>
          <w:sz w:val="20"/>
          <w:szCs w:val="20"/>
          <w:lang w:val="it-IT"/>
        </w:rPr>
        <w:t>topconpositioning.com.</w:t>
      </w:r>
      <w:proofErr w:type="spellEnd"/>
    </w:p>
    <w:p w:rsidR="00F86AB9" w:rsidRPr="00732813" w:rsidRDefault="00F86AB9" w:rsidP="002339AA">
      <w:pPr>
        <w:tabs>
          <w:tab w:val="left" w:pos="270"/>
        </w:tabs>
        <w:rPr>
          <w:rFonts w:ascii="Arial" w:hAnsi="Arial"/>
          <w:color w:val="000000"/>
          <w:sz w:val="8"/>
          <w:szCs w:val="22"/>
          <w:lang w:val="it-IT"/>
        </w:rPr>
      </w:pPr>
    </w:p>
    <w:p w:rsidR="006456AE" w:rsidRDefault="007530F6" w:rsidP="00E07F73">
      <w:pPr>
        <w:tabs>
          <w:tab w:val="left" w:pos="270"/>
        </w:tabs>
        <w:jc w:val="center"/>
        <w:rPr>
          <w:rFonts w:ascii="Arial" w:hAnsi="Arial" w:cs="Arial"/>
          <w:sz w:val="16"/>
          <w:szCs w:val="18"/>
          <w:lang w:val="it-IT"/>
        </w:rPr>
      </w:pPr>
      <w:r w:rsidRPr="00732813">
        <w:rPr>
          <w:rFonts w:ascii="Arial" w:hAnsi="Arial" w:cs="Arial"/>
          <w:sz w:val="16"/>
          <w:szCs w:val="18"/>
          <w:lang w:val="it-IT"/>
        </w:rPr>
        <w:t># # #</w:t>
      </w:r>
    </w:p>
    <w:p w:rsidR="009F2E46" w:rsidRDefault="009F2E46" w:rsidP="00E07F73">
      <w:pPr>
        <w:tabs>
          <w:tab w:val="left" w:pos="270"/>
        </w:tabs>
        <w:jc w:val="center"/>
        <w:rPr>
          <w:rFonts w:ascii="Arial" w:hAnsi="Arial" w:cs="Arial"/>
          <w:sz w:val="16"/>
          <w:szCs w:val="18"/>
          <w:lang w:val="it-IT"/>
        </w:rPr>
      </w:pPr>
    </w:p>
    <w:p w:rsidR="00816E5C" w:rsidRDefault="00816E5C" w:rsidP="005E4D39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</w:pPr>
    </w:p>
    <w:p w:rsidR="00816E5C" w:rsidRDefault="00816E5C" w:rsidP="005E4D39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</w:pPr>
    </w:p>
    <w:p w:rsidR="00816E5C" w:rsidRDefault="00816E5C" w:rsidP="005E4D39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</w:pPr>
    </w:p>
    <w:p w:rsidR="00816E5C" w:rsidRDefault="00816E5C" w:rsidP="005E4D39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</w:pPr>
    </w:p>
    <w:p w:rsidR="005E4D39" w:rsidRPr="00277CAD" w:rsidRDefault="005E4D39" w:rsidP="005E4D39">
      <w:pPr>
        <w:tabs>
          <w:tab w:val="left" w:pos="270"/>
        </w:tabs>
        <w:rPr>
          <w:rFonts w:ascii="Arial" w:hAnsi="Arial"/>
          <w:color w:val="808080" w:themeColor="background1" w:themeShade="80"/>
          <w:sz w:val="18"/>
          <w:szCs w:val="18"/>
          <w:lang w:val="it-IT"/>
        </w:rPr>
      </w:pPr>
      <w:r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  <w:lastRenderedPageBreak/>
        <w:t>Informazioni su</w:t>
      </w:r>
      <w:r w:rsidRPr="00277CAD"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  <w:t xml:space="preserve"> Topcon Positioning Group</w:t>
      </w:r>
      <w:r w:rsidRPr="00277CA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</w:t>
      </w:r>
    </w:p>
    <w:p w:rsidR="005E4D39" w:rsidRPr="004556C6" w:rsidRDefault="005E4D39" w:rsidP="005E4D39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4"/>
          <w:szCs w:val="14"/>
          <w:lang w:val="it-IT"/>
        </w:rPr>
      </w:pPr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Topcon Positioning Group ha sede a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Livermore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, California, USA (</w:t>
      </w:r>
      <w:hyperlink r:id="rId11" w:history="1">
        <w:r w:rsidRPr="004556C6">
          <w:rPr>
            <w:rStyle w:val="Collegamentoipertestuale"/>
            <w:rFonts w:ascii="Arial" w:hAnsi="Arial"/>
            <w:sz w:val="14"/>
            <w:szCs w:val="14"/>
            <w:lang w:val="it-IT"/>
          </w:rPr>
          <w:t>topconpositioning.com</w:t>
        </w:r>
      </w:hyperlink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). La sua sede centrale europea è a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Capelle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 a/d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IJssel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, Paesi Bassi (</w:t>
      </w:r>
      <w:proofErr w:type="spellStart"/>
      <w:r w:rsidR="00933054" w:rsidRPr="00933054">
        <w:rPr>
          <w:rFonts w:ascii="Arial" w:hAnsi="Arial"/>
          <w:color w:val="808080" w:themeColor="background1" w:themeShade="80"/>
          <w:sz w:val="14"/>
          <w:szCs w:val="14"/>
        </w:rPr>
        <w:fldChar w:fldCharType="begin"/>
      </w:r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instrText>HYPERLINK "http://www.topconpositioning.eu"</w:instrText>
      </w:r>
      <w:r w:rsidR="00933054" w:rsidRPr="00933054">
        <w:rPr>
          <w:rFonts w:ascii="Arial" w:hAnsi="Arial"/>
          <w:color w:val="808080" w:themeColor="background1" w:themeShade="80"/>
          <w:sz w:val="14"/>
          <w:szCs w:val="14"/>
        </w:rPr>
        <w:fldChar w:fldCharType="separate"/>
      </w:r>
      <w:r w:rsidRPr="004556C6">
        <w:rPr>
          <w:rStyle w:val="Collegamentoipertestuale"/>
          <w:rFonts w:ascii="Arial" w:hAnsi="Arial"/>
          <w:sz w:val="14"/>
          <w:szCs w:val="14"/>
          <w:lang w:val="it-IT"/>
        </w:rPr>
        <w:t>topconpositioning.eu</w:t>
      </w:r>
      <w:proofErr w:type="spellEnd"/>
      <w:r w:rsidR="00933054"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fldChar w:fldCharType="end"/>
      </w:r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). Topcon Positioning Group progetta, realizza e distribuisce prodotti e soluzioni per il posizionamento di precisione e soluzioni per il rilevamento globale, edilizia e costruzioni, agricoltura, ingegneria civile, BIM, cartografia e GIS,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asset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 management e mercati di mobile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control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. I suoi marchi includono Topcon, Sokkia,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Tierra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,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Wachendorff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Elektronik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 xml:space="preserve">, </w:t>
      </w:r>
      <w:proofErr w:type="spellStart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Digi-Star</w:t>
      </w:r>
      <w:proofErr w:type="spellEnd"/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, RDS Technologies, NORAC e 2LS. Topcon Corporation (</w:t>
      </w:r>
      <w:hyperlink r:id="rId12" w:history="1">
        <w:r w:rsidRPr="004556C6">
          <w:rPr>
            <w:rStyle w:val="Collegamentoipertestuale"/>
            <w:rFonts w:ascii="Arial" w:hAnsi="Arial"/>
            <w:sz w:val="14"/>
            <w:szCs w:val="14"/>
            <w:lang w:val="it-IT"/>
          </w:rPr>
          <w:t>topcon.com</w:t>
        </w:r>
      </w:hyperlink>
      <w:r w:rsidRPr="004556C6">
        <w:rPr>
          <w:rFonts w:ascii="Arial" w:hAnsi="Arial"/>
          <w:color w:val="808080" w:themeColor="background1" w:themeShade="80"/>
          <w:sz w:val="14"/>
          <w:szCs w:val="14"/>
          <w:lang w:val="it-IT"/>
        </w:rPr>
        <w:t>), fondata nel 1932, è quotata alla Borsa di Tokyo (7732). </w:t>
      </w:r>
      <w:r w:rsidRPr="004556C6">
        <w:rPr>
          <w:rFonts w:ascii="Arial" w:hAnsi="Arial"/>
          <w:b/>
          <w:color w:val="808080" w:themeColor="background1" w:themeShade="80"/>
          <w:sz w:val="14"/>
          <w:szCs w:val="14"/>
          <w:lang w:val="it-IT"/>
        </w:rPr>
        <w:t xml:space="preserve">  </w:t>
      </w:r>
    </w:p>
    <w:p w:rsidR="009F2E46" w:rsidRPr="00277CAD" w:rsidRDefault="009F2E46" w:rsidP="009F2E46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</w:pPr>
      <w:r w:rsidRPr="00277CAD">
        <w:rPr>
          <w:rFonts w:ascii="Arial" w:hAnsi="Arial"/>
          <w:b/>
          <w:color w:val="808080" w:themeColor="background1" w:themeShade="80"/>
          <w:sz w:val="16"/>
          <w:szCs w:val="18"/>
          <w:lang w:val="it-IT"/>
        </w:rPr>
        <w:t xml:space="preserve">  </w:t>
      </w:r>
    </w:p>
    <w:p w:rsidR="005B1A48" w:rsidRPr="000F031D" w:rsidRDefault="005B1A48" w:rsidP="005B1A48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4"/>
          <w:szCs w:val="14"/>
        </w:rPr>
      </w:pPr>
      <w:r w:rsidRPr="000F031D">
        <w:rPr>
          <w:rFonts w:ascii="Arial" w:hAnsi="Arial"/>
          <w:b/>
          <w:color w:val="808080" w:themeColor="background1" w:themeShade="80"/>
          <w:sz w:val="14"/>
          <w:szCs w:val="14"/>
        </w:rPr>
        <w:t>Press Information</w:t>
      </w:r>
    </w:p>
    <w:p w:rsidR="005B1A48" w:rsidRPr="000F031D" w:rsidRDefault="005B1A48" w:rsidP="005B1A48">
      <w:pPr>
        <w:tabs>
          <w:tab w:val="left" w:pos="270"/>
        </w:tabs>
        <w:rPr>
          <w:rFonts w:ascii="Arial" w:hAnsi="Arial"/>
          <w:color w:val="666666"/>
          <w:sz w:val="14"/>
          <w:szCs w:val="14"/>
        </w:rPr>
      </w:pPr>
      <w:r w:rsidRPr="000F031D">
        <w:rPr>
          <w:rFonts w:ascii="Arial" w:hAnsi="Arial"/>
          <w:color w:val="808080" w:themeColor="background1" w:themeShade="80"/>
          <w:sz w:val="14"/>
          <w:szCs w:val="14"/>
        </w:rPr>
        <w:t xml:space="preserve">Topcon Positioning </w:t>
      </w:r>
      <w:r w:rsidRPr="000F031D">
        <w:rPr>
          <w:rFonts w:ascii="Arial" w:hAnsi="Arial"/>
          <w:color w:val="666666"/>
          <w:sz w:val="14"/>
          <w:szCs w:val="14"/>
        </w:rPr>
        <w:t>Group</w:t>
      </w:r>
    </w:p>
    <w:p w:rsidR="005B1A48" w:rsidRPr="000F031D" w:rsidRDefault="00933054" w:rsidP="005B1A48">
      <w:pPr>
        <w:tabs>
          <w:tab w:val="left" w:pos="270"/>
        </w:tabs>
        <w:rPr>
          <w:rFonts w:ascii="Arial" w:hAnsi="Arial"/>
          <w:color w:val="666666"/>
          <w:sz w:val="14"/>
          <w:szCs w:val="14"/>
        </w:rPr>
      </w:pPr>
      <w:hyperlink r:id="rId13" w:history="1">
        <w:r w:rsidR="005B1A48" w:rsidRPr="000F031D">
          <w:rPr>
            <w:rStyle w:val="Collegamentoipertestuale"/>
            <w:rFonts w:ascii="Arial" w:hAnsi="Arial"/>
            <w:sz w:val="14"/>
            <w:szCs w:val="14"/>
          </w:rPr>
          <w:t>CorpComm@topcon.com</w:t>
        </w:r>
      </w:hyperlink>
    </w:p>
    <w:p w:rsidR="005B1A48" w:rsidRPr="005B1A48" w:rsidRDefault="005B1A48" w:rsidP="005B1A48">
      <w:pPr>
        <w:tabs>
          <w:tab w:val="left" w:pos="270"/>
        </w:tabs>
        <w:rPr>
          <w:rFonts w:ascii="Arial" w:hAnsi="Arial"/>
          <w:color w:val="808080" w:themeColor="background1" w:themeShade="80"/>
          <w:sz w:val="14"/>
          <w:szCs w:val="14"/>
          <w:lang w:val="it-IT"/>
        </w:rPr>
      </w:pPr>
      <w:r w:rsidRPr="005B1A48">
        <w:rPr>
          <w:rFonts w:ascii="Arial" w:hAnsi="Arial"/>
          <w:color w:val="808080" w:themeColor="background1" w:themeShade="80"/>
          <w:sz w:val="14"/>
          <w:szCs w:val="14"/>
          <w:lang w:val="it-IT"/>
        </w:rPr>
        <w:t>USA: Staci Fitzgerald, +1 925-245-8610</w:t>
      </w:r>
    </w:p>
    <w:p w:rsidR="005B1A48" w:rsidRPr="005B1A48" w:rsidRDefault="005B1A48" w:rsidP="005B1A48">
      <w:pPr>
        <w:tabs>
          <w:tab w:val="left" w:pos="270"/>
        </w:tabs>
        <w:rPr>
          <w:rFonts w:ascii="Arial" w:hAnsi="Arial"/>
          <w:color w:val="808080" w:themeColor="background1" w:themeShade="80"/>
          <w:sz w:val="14"/>
          <w:szCs w:val="14"/>
          <w:lang w:val="it-IT"/>
        </w:rPr>
      </w:pPr>
      <w:proofErr w:type="spellStart"/>
      <w:r w:rsidRPr="005B1A48">
        <w:rPr>
          <w:rFonts w:ascii="Arial" w:hAnsi="Arial"/>
          <w:color w:val="808080" w:themeColor="background1" w:themeShade="80"/>
          <w:sz w:val="14"/>
          <w:szCs w:val="14"/>
          <w:lang w:val="it-IT"/>
        </w:rPr>
        <w:t>Europe</w:t>
      </w:r>
      <w:proofErr w:type="spellEnd"/>
      <w:r w:rsidRPr="005B1A48">
        <w:rPr>
          <w:rFonts w:ascii="Arial" w:hAnsi="Arial"/>
          <w:color w:val="808080" w:themeColor="background1" w:themeShade="80"/>
          <w:sz w:val="14"/>
          <w:szCs w:val="14"/>
          <w:lang w:val="it-IT"/>
        </w:rPr>
        <w:t>: Stuart Proctor, +31 10 458 50 77</w:t>
      </w:r>
    </w:p>
    <w:sectPr w:rsidR="005B1A48" w:rsidRPr="005B1A48" w:rsidSect="0009234C">
      <w:headerReference w:type="first" r:id="rId14"/>
      <w:footerReference w:type="first" r:id="rId15"/>
      <w:pgSz w:w="12240" w:h="15840"/>
      <w:pgMar w:top="2088" w:right="1440" w:bottom="1008" w:left="1440" w:header="360" w:footer="720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1600" w:rsidRDefault="00111600">
      <w:r>
        <w:separator/>
      </w:r>
    </w:p>
  </w:endnote>
  <w:endnote w:type="continuationSeparator" w:id="0">
    <w:p w:rsidR="00111600" w:rsidRDefault="001116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2C43" w:rsidRPr="00283069" w:rsidRDefault="00FF2C43" w:rsidP="00283069">
    <w:pPr>
      <w:pStyle w:val="Pidipagina"/>
      <w:jc w:val="right"/>
    </w:pP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1" name="Picture 1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.ImageServer.jpe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6" name="Picture 6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1.ImageServer.jpe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5" name="Picture 5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2.ImageServer.jpe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7" name="Picture 7">
            <a:hlinkClick xmlns:a="http://schemas.openxmlformats.org/drawingml/2006/main" r:id="rId7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3.ImageServer.jpe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8" name="Picture 8">
            <a:hlinkClick xmlns:a="http://schemas.openxmlformats.org/drawingml/2006/main" r:id="rId9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4.ImageServer.jpeg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1600" w:rsidRDefault="00111600">
      <w:r>
        <w:separator/>
      </w:r>
    </w:p>
  </w:footnote>
  <w:footnote w:type="continuationSeparator" w:id="0">
    <w:p w:rsidR="00111600" w:rsidRDefault="0011160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2C43" w:rsidRPr="00EB1000" w:rsidRDefault="00FF2C43" w:rsidP="00846CEF">
    <w:pPr>
      <w:pStyle w:val="Intestazione"/>
      <w:ind w:left="-720" w:right="-720"/>
      <w:jc w:val="center"/>
      <w:rPr>
        <w:rFonts w:ascii="Arial" w:hAnsi="Arial"/>
        <w:color w:val="FFFFFF" w:themeColor="background1"/>
      </w:rPr>
    </w:pPr>
    <w:r>
      <w:rPr>
        <w:rFonts w:ascii="Arial" w:hAnsi="Arial"/>
        <w:noProof/>
        <w:color w:val="FFFFFF" w:themeColor="background1"/>
        <w:lang w:val="it-IT" w:eastAsia="zh-TW" w:bidi="he-I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-634365</wp:posOffset>
          </wp:positionH>
          <wp:positionV relativeFrom="paragraph">
            <wp:posOffset>2540</wp:posOffset>
          </wp:positionV>
          <wp:extent cx="7252335" cy="1093497"/>
          <wp:effectExtent l="0" t="0" r="1206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opconPR_header-A4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-86" t="-235" r="-86" b="-235"/>
                  <a:stretch/>
                </pic:blipFill>
                <pic:spPr bwMode="auto">
                  <a:xfrm>
                    <a:off x="0" y="0"/>
                    <a:ext cx="7252335" cy="109349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  <a:ext uri="{FAA26D3D-D897-4be2-8F04-BA451C77F1D7}">
                      <ma14:placeholderFlag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:rsidR="00FF2C43" w:rsidRPr="00EB1000" w:rsidRDefault="00FF2C43" w:rsidP="00220127">
    <w:pPr>
      <w:pStyle w:val="Intestazione"/>
      <w:ind w:right="-720"/>
      <w:jc w:val="right"/>
      <w:rPr>
        <w:rFonts w:ascii="Arial" w:hAnsi="Arial"/>
        <w:color w:val="FFFFFF" w:themeColor="background1"/>
        <w:sz w:val="32"/>
        <w:szCs w:val="32"/>
      </w:rPr>
    </w:pPr>
  </w:p>
  <w:p w:rsidR="00FF2C43" w:rsidRPr="001A276A" w:rsidRDefault="00B37273" w:rsidP="00220127">
    <w:pPr>
      <w:pStyle w:val="Intestazione"/>
      <w:ind w:right="-720"/>
      <w:jc w:val="right"/>
      <w:rPr>
        <w:rFonts w:ascii="Arial" w:hAnsi="Arial"/>
        <w:color w:val="EEB111"/>
        <w:sz w:val="32"/>
        <w:szCs w:val="32"/>
      </w:rPr>
    </w:pPr>
    <w:r>
      <w:rPr>
        <w:rFonts w:ascii="Arial" w:hAnsi="Arial"/>
        <w:color w:val="EEB111"/>
        <w:sz w:val="32"/>
        <w:szCs w:val="32"/>
      </w:rPr>
      <w:t>COMUNICATO STAMPA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3A0B04"/>
    <w:multiLevelType w:val="hybridMultilevel"/>
    <w:tmpl w:val="8898A116"/>
    <w:lvl w:ilvl="0" w:tplc="1EE451B8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proofState w:spelling="clean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82"/>
  </w:hdrShapeDefaults>
  <w:footnotePr>
    <w:footnote w:id="-1"/>
    <w:footnote w:id="0"/>
  </w:footnotePr>
  <w:endnotePr>
    <w:endnote w:id="-1"/>
    <w:endnote w:id="0"/>
  </w:endnotePr>
  <w:compat/>
  <w:rsids>
    <w:rsidRoot w:val="00513E5B"/>
    <w:rsid w:val="00006C61"/>
    <w:rsid w:val="000337F8"/>
    <w:rsid w:val="000418C2"/>
    <w:rsid w:val="00073328"/>
    <w:rsid w:val="000872FF"/>
    <w:rsid w:val="0009234C"/>
    <w:rsid w:val="000A6DD5"/>
    <w:rsid w:val="000B5413"/>
    <w:rsid w:val="000C3C4C"/>
    <w:rsid w:val="000C6429"/>
    <w:rsid w:val="000D117E"/>
    <w:rsid w:val="00105D3C"/>
    <w:rsid w:val="00111600"/>
    <w:rsid w:val="00123665"/>
    <w:rsid w:val="0015695A"/>
    <w:rsid w:val="00163F32"/>
    <w:rsid w:val="00177523"/>
    <w:rsid w:val="001855FB"/>
    <w:rsid w:val="001A276A"/>
    <w:rsid w:val="001A5950"/>
    <w:rsid w:val="001B6BA0"/>
    <w:rsid w:val="001D47AE"/>
    <w:rsid w:val="001E495F"/>
    <w:rsid w:val="001F02F7"/>
    <w:rsid w:val="00207651"/>
    <w:rsid w:val="00210831"/>
    <w:rsid w:val="00211CAC"/>
    <w:rsid w:val="0021353A"/>
    <w:rsid w:val="00220127"/>
    <w:rsid w:val="002339AA"/>
    <w:rsid w:val="00234742"/>
    <w:rsid w:val="002377E8"/>
    <w:rsid w:val="00265C21"/>
    <w:rsid w:val="00267859"/>
    <w:rsid w:val="002751AA"/>
    <w:rsid w:val="00280B3F"/>
    <w:rsid w:val="00283069"/>
    <w:rsid w:val="00283421"/>
    <w:rsid w:val="002B2158"/>
    <w:rsid w:val="002B65A9"/>
    <w:rsid w:val="002B7EB0"/>
    <w:rsid w:val="002C06FF"/>
    <w:rsid w:val="002C1A8C"/>
    <w:rsid w:val="002E0F60"/>
    <w:rsid w:val="002E2BC8"/>
    <w:rsid w:val="002E5E21"/>
    <w:rsid w:val="00313F6E"/>
    <w:rsid w:val="0032173B"/>
    <w:rsid w:val="003217F4"/>
    <w:rsid w:val="00340920"/>
    <w:rsid w:val="003526D0"/>
    <w:rsid w:val="00353911"/>
    <w:rsid w:val="00355294"/>
    <w:rsid w:val="00361D3B"/>
    <w:rsid w:val="003801D4"/>
    <w:rsid w:val="0039761D"/>
    <w:rsid w:val="003A6C06"/>
    <w:rsid w:val="003A6FFB"/>
    <w:rsid w:val="003A7243"/>
    <w:rsid w:val="003B1941"/>
    <w:rsid w:val="003B36D6"/>
    <w:rsid w:val="003B49D6"/>
    <w:rsid w:val="003C6648"/>
    <w:rsid w:val="003D6974"/>
    <w:rsid w:val="003F134C"/>
    <w:rsid w:val="003F5E34"/>
    <w:rsid w:val="00413E95"/>
    <w:rsid w:val="00416269"/>
    <w:rsid w:val="0043387D"/>
    <w:rsid w:val="00433A38"/>
    <w:rsid w:val="00452580"/>
    <w:rsid w:val="00455203"/>
    <w:rsid w:val="00455FC7"/>
    <w:rsid w:val="00471166"/>
    <w:rsid w:val="004755C7"/>
    <w:rsid w:val="004C2A52"/>
    <w:rsid w:val="00513E5B"/>
    <w:rsid w:val="0053789D"/>
    <w:rsid w:val="005378E1"/>
    <w:rsid w:val="005502C7"/>
    <w:rsid w:val="0058710D"/>
    <w:rsid w:val="00587A94"/>
    <w:rsid w:val="00594377"/>
    <w:rsid w:val="005A23A0"/>
    <w:rsid w:val="005A4B01"/>
    <w:rsid w:val="005B1A48"/>
    <w:rsid w:val="005C44F8"/>
    <w:rsid w:val="005C48E8"/>
    <w:rsid w:val="005E4D39"/>
    <w:rsid w:val="005E6C33"/>
    <w:rsid w:val="005F0C86"/>
    <w:rsid w:val="005F3D0B"/>
    <w:rsid w:val="006103A4"/>
    <w:rsid w:val="0061068D"/>
    <w:rsid w:val="006112E8"/>
    <w:rsid w:val="00611FCB"/>
    <w:rsid w:val="0061580F"/>
    <w:rsid w:val="00617F10"/>
    <w:rsid w:val="00622524"/>
    <w:rsid w:val="006274D0"/>
    <w:rsid w:val="00637E81"/>
    <w:rsid w:val="0064309C"/>
    <w:rsid w:val="00644D92"/>
    <w:rsid w:val="006456AE"/>
    <w:rsid w:val="00646B29"/>
    <w:rsid w:val="00653C74"/>
    <w:rsid w:val="0069002A"/>
    <w:rsid w:val="006926B3"/>
    <w:rsid w:val="006B2A9A"/>
    <w:rsid w:val="006E05C2"/>
    <w:rsid w:val="00713F0D"/>
    <w:rsid w:val="00732813"/>
    <w:rsid w:val="007530F6"/>
    <w:rsid w:val="00756005"/>
    <w:rsid w:val="007605FA"/>
    <w:rsid w:val="00765F8C"/>
    <w:rsid w:val="00773A4C"/>
    <w:rsid w:val="0078639E"/>
    <w:rsid w:val="007B3233"/>
    <w:rsid w:val="007C481B"/>
    <w:rsid w:val="007D26FD"/>
    <w:rsid w:val="007D51D2"/>
    <w:rsid w:val="00810DE0"/>
    <w:rsid w:val="00813405"/>
    <w:rsid w:val="008141F4"/>
    <w:rsid w:val="00816E5C"/>
    <w:rsid w:val="008205DE"/>
    <w:rsid w:val="00832E9A"/>
    <w:rsid w:val="00846CEF"/>
    <w:rsid w:val="00853C9A"/>
    <w:rsid w:val="00870D37"/>
    <w:rsid w:val="008802C4"/>
    <w:rsid w:val="00891FF7"/>
    <w:rsid w:val="00892065"/>
    <w:rsid w:val="008962D4"/>
    <w:rsid w:val="008A7B05"/>
    <w:rsid w:val="008D0202"/>
    <w:rsid w:val="008D7421"/>
    <w:rsid w:val="008E6FD9"/>
    <w:rsid w:val="008F54A3"/>
    <w:rsid w:val="00933054"/>
    <w:rsid w:val="009434F4"/>
    <w:rsid w:val="009558FC"/>
    <w:rsid w:val="00956EF7"/>
    <w:rsid w:val="009614DE"/>
    <w:rsid w:val="009666D5"/>
    <w:rsid w:val="00975493"/>
    <w:rsid w:val="00991411"/>
    <w:rsid w:val="00994B32"/>
    <w:rsid w:val="009964DE"/>
    <w:rsid w:val="009F2E46"/>
    <w:rsid w:val="00A06D66"/>
    <w:rsid w:val="00A30213"/>
    <w:rsid w:val="00A30A5E"/>
    <w:rsid w:val="00A324A3"/>
    <w:rsid w:val="00A41F3F"/>
    <w:rsid w:val="00A47E24"/>
    <w:rsid w:val="00A57BD4"/>
    <w:rsid w:val="00A60195"/>
    <w:rsid w:val="00A74E93"/>
    <w:rsid w:val="00A9365C"/>
    <w:rsid w:val="00A976A5"/>
    <w:rsid w:val="00AA123E"/>
    <w:rsid w:val="00AA2A43"/>
    <w:rsid w:val="00AC09BA"/>
    <w:rsid w:val="00AE0D23"/>
    <w:rsid w:val="00AE6481"/>
    <w:rsid w:val="00B35AF9"/>
    <w:rsid w:val="00B37273"/>
    <w:rsid w:val="00B402B7"/>
    <w:rsid w:val="00B4058E"/>
    <w:rsid w:val="00B63468"/>
    <w:rsid w:val="00B81610"/>
    <w:rsid w:val="00B92736"/>
    <w:rsid w:val="00B92C56"/>
    <w:rsid w:val="00B92CFE"/>
    <w:rsid w:val="00B95B9A"/>
    <w:rsid w:val="00BB19B5"/>
    <w:rsid w:val="00BB25D3"/>
    <w:rsid w:val="00BB4455"/>
    <w:rsid w:val="00BC0C4B"/>
    <w:rsid w:val="00BC6358"/>
    <w:rsid w:val="00BD71D0"/>
    <w:rsid w:val="00BE12FA"/>
    <w:rsid w:val="00BE5DE2"/>
    <w:rsid w:val="00BF37F1"/>
    <w:rsid w:val="00C01690"/>
    <w:rsid w:val="00C03ADA"/>
    <w:rsid w:val="00C31391"/>
    <w:rsid w:val="00C51144"/>
    <w:rsid w:val="00C638D1"/>
    <w:rsid w:val="00C725ED"/>
    <w:rsid w:val="00C7597C"/>
    <w:rsid w:val="00C81D46"/>
    <w:rsid w:val="00C92C21"/>
    <w:rsid w:val="00C96821"/>
    <w:rsid w:val="00CD3455"/>
    <w:rsid w:val="00CE188F"/>
    <w:rsid w:val="00CE3D30"/>
    <w:rsid w:val="00CE7843"/>
    <w:rsid w:val="00CF403B"/>
    <w:rsid w:val="00CF7FC5"/>
    <w:rsid w:val="00D22A86"/>
    <w:rsid w:val="00D47414"/>
    <w:rsid w:val="00D55832"/>
    <w:rsid w:val="00D622CA"/>
    <w:rsid w:val="00D6369D"/>
    <w:rsid w:val="00D647FC"/>
    <w:rsid w:val="00D672DA"/>
    <w:rsid w:val="00D6784A"/>
    <w:rsid w:val="00D70AF0"/>
    <w:rsid w:val="00D70EE2"/>
    <w:rsid w:val="00D91CF0"/>
    <w:rsid w:val="00D979CB"/>
    <w:rsid w:val="00DA4F99"/>
    <w:rsid w:val="00DC60A0"/>
    <w:rsid w:val="00E07F73"/>
    <w:rsid w:val="00E16158"/>
    <w:rsid w:val="00E32B47"/>
    <w:rsid w:val="00E47E09"/>
    <w:rsid w:val="00E76568"/>
    <w:rsid w:val="00EB1000"/>
    <w:rsid w:val="00ED70D3"/>
    <w:rsid w:val="00EE33D2"/>
    <w:rsid w:val="00F00288"/>
    <w:rsid w:val="00F0754B"/>
    <w:rsid w:val="00F13D8B"/>
    <w:rsid w:val="00F3525C"/>
    <w:rsid w:val="00F463E2"/>
    <w:rsid w:val="00F55F20"/>
    <w:rsid w:val="00F757D3"/>
    <w:rsid w:val="00F81B4F"/>
    <w:rsid w:val="00F84020"/>
    <w:rsid w:val="00F86AB9"/>
    <w:rsid w:val="00F86B3B"/>
    <w:rsid w:val="00F94B4A"/>
    <w:rsid w:val="00F94B69"/>
    <w:rsid w:val="00F94E58"/>
    <w:rsid w:val="00FA3772"/>
    <w:rsid w:val="00FB0DA8"/>
    <w:rsid w:val="00FB146B"/>
    <w:rsid w:val="00FB4CB7"/>
    <w:rsid w:val="00FB613D"/>
    <w:rsid w:val="00FC36F6"/>
    <w:rsid w:val="00FD032D"/>
    <w:rsid w:val="00FD070E"/>
    <w:rsid w:val="00FD6101"/>
    <w:rsid w:val="00FF2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2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2764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413E95"/>
    <w:pPr>
      <w:keepNext/>
      <w:keepLines/>
      <w:spacing w:before="480" w:after="240"/>
      <w:outlineLvl w:val="0"/>
    </w:pPr>
    <w:rPr>
      <w:rFonts w:ascii="Arial" w:eastAsiaTheme="majorEastAsia" w:hAnsi="Arial" w:cstheme="majorBidi"/>
      <w:b/>
      <w:bCs/>
      <w:color w:val="000000" w:themeColor="text1"/>
      <w:sz w:val="44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semiHidden/>
    <w:rsid w:val="00340904"/>
    <w:rPr>
      <w:rFonts w:ascii="Lucida Grande" w:hAnsi="Lucida Grande"/>
      <w:sz w:val="18"/>
      <w:szCs w:val="18"/>
    </w:rPr>
  </w:style>
  <w:style w:type="paragraph" w:styleId="Intestazione">
    <w:name w:val="header"/>
    <w:basedOn w:val="Normale"/>
    <w:rsid w:val="00B02764"/>
    <w:pPr>
      <w:tabs>
        <w:tab w:val="center" w:pos="4320"/>
        <w:tab w:val="right" w:pos="8640"/>
      </w:tabs>
    </w:pPr>
  </w:style>
  <w:style w:type="paragraph" w:styleId="Pidipagina">
    <w:name w:val="footer"/>
    <w:basedOn w:val="Normale"/>
    <w:semiHidden/>
    <w:rsid w:val="00B02764"/>
    <w:pPr>
      <w:tabs>
        <w:tab w:val="center" w:pos="4320"/>
        <w:tab w:val="right" w:pos="8640"/>
      </w:tabs>
    </w:pPr>
  </w:style>
  <w:style w:type="character" w:styleId="Numeropagina">
    <w:name w:val="page number"/>
    <w:basedOn w:val="Carpredefinitoparagrafo"/>
    <w:rsid w:val="00B02764"/>
  </w:style>
  <w:style w:type="paragraph" w:styleId="NormaleWeb">
    <w:name w:val="Normal (Web)"/>
    <w:basedOn w:val="Normale"/>
    <w:uiPriority w:val="99"/>
    <w:unhideWhenUsed/>
    <w:rsid w:val="000F15F5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character" w:styleId="Collegamentoipertestuale">
    <w:name w:val="Hyperlink"/>
    <w:uiPriority w:val="99"/>
    <w:unhideWhenUsed/>
    <w:rsid w:val="000F15F5"/>
    <w:rPr>
      <w:color w:val="0000FF"/>
      <w:u w:val="single"/>
    </w:rPr>
  </w:style>
  <w:style w:type="character" w:styleId="Collegamentovisitato">
    <w:name w:val="FollowedHyperlink"/>
    <w:uiPriority w:val="99"/>
    <w:semiHidden/>
    <w:unhideWhenUsed/>
    <w:rsid w:val="0061580F"/>
    <w:rPr>
      <w:color w:val="800080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413E95"/>
    <w:rPr>
      <w:rFonts w:ascii="Arial" w:eastAsiaTheme="majorEastAsia" w:hAnsi="Arial" w:cstheme="majorBidi"/>
      <w:b/>
      <w:bCs/>
      <w:color w:val="000000" w:themeColor="text1"/>
      <w:sz w:val="44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E7656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E7656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E76568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E7656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E7656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230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CorpComm@topcon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global.topcon.com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topconpositioning.com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topconpositioning.com/it-it/total-station-solutions/robotic-total-stations/serie-m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7.jpeg"/><Relationship Id="rId3" Type="http://schemas.openxmlformats.org/officeDocument/2006/relationships/hyperlink" Target="https://www.linkedin.com/company/topcon-positioning-systems" TargetMode="External"/><Relationship Id="rId7" Type="http://schemas.openxmlformats.org/officeDocument/2006/relationships/hyperlink" Target="https://www.youtube.com/user/TopconToday" TargetMode="External"/><Relationship Id="rId2" Type="http://schemas.openxmlformats.org/officeDocument/2006/relationships/image" Target="media/image4.jpeg"/><Relationship Id="rId1" Type="http://schemas.openxmlformats.org/officeDocument/2006/relationships/hyperlink" Target="https://www.facebook.com/TopconToday" TargetMode="External"/><Relationship Id="rId6" Type="http://schemas.openxmlformats.org/officeDocument/2006/relationships/image" Target="media/image6.jpeg"/><Relationship Id="rId5" Type="http://schemas.openxmlformats.org/officeDocument/2006/relationships/hyperlink" Target="https://twitter.com/topcon_today" TargetMode="External"/><Relationship Id="rId10" Type="http://schemas.openxmlformats.org/officeDocument/2006/relationships/image" Target="media/image8.jpeg"/><Relationship Id="rId4" Type="http://schemas.openxmlformats.org/officeDocument/2006/relationships/image" Target="media/image5.jpeg"/><Relationship Id="rId9" Type="http://schemas.openxmlformats.org/officeDocument/2006/relationships/hyperlink" Target="https://www.instagram.com/topcontoday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2CCC6A5-F1BA-472B-B804-B93E25F1E9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582</Words>
  <Characters>3323</Characters>
  <Application>Microsoft Office Word</Application>
  <DocSecurity>0</DocSecurity>
  <Lines>27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TPG Press Release Template</vt:lpstr>
      <vt:lpstr>TPG Press Release Template</vt:lpstr>
    </vt:vector>
  </TitlesOfParts>
  <Manager>Achiel Sturm</Manager>
  <Company>Topcon Positioning Group</Company>
  <LinksUpToDate>false</LinksUpToDate>
  <CharactersWithSpaces>3898</CharactersWithSpaces>
  <SharedDoc>false</SharedDoc>
  <HyperlinkBase/>
  <HLinks>
    <vt:vector size="24" baseType="variant">
      <vt:variant>
        <vt:i4>5701750</vt:i4>
      </vt:variant>
      <vt:variant>
        <vt:i4>9</vt:i4>
      </vt:variant>
      <vt:variant>
        <vt:i4>0</vt:i4>
      </vt:variant>
      <vt:variant>
        <vt:i4>5</vt:i4>
      </vt:variant>
      <vt:variant>
        <vt:lpwstr>mailto:news@topcon.com</vt:lpwstr>
      </vt:variant>
      <vt:variant>
        <vt:lpwstr/>
      </vt:variant>
      <vt:variant>
        <vt:i4>110</vt:i4>
      </vt:variant>
      <vt:variant>
        <vt:i4>6</vt:i4>
      </vt:variant>
      <vt:variant>
        <vt:i4>0</vt:i4>
      </vt:variant>
      <vt:variant>
        <vt:i4>5</vt:i4>
      </vt:variant>
      <vt:variant>
        <vt:lpwstr>http://global.topcon.com/</vt:lpwstr>
      </vt:variant>
      <vt:variant>
        <vt:lpwstr/>
      </vt:variant>
      <vt:variant>
        <vt:i4>3342342</vt:i4>
      </vt:variant>
      <vt:variant>
        <vt:i4>3</vt:i4>
      </vt:variant>
      <vt:variant>
        <vt:i4>0</vt:i4>
      </vt:variant>
      <vt:variant>
        <vt:i4>5</vt:i4>
      </vt:variant>
      <vt:variant>
        <vt:lpwstr>http://www.topconpositioning.eu</vt:lpwstr>
      </vt:variant>
      <vt:variant>
        <vt:lpwstr/>
      </vt:variant>
      <vt:variant>
        <vt:i4>5767219</vt:i4>
      </vt:variant>
      <vt:variant>
        <vt:i4>0</vt:i4>
      </vt:variant>
      <vt:variant>
        <vt:i4>0</vt:i4>
      </vt:variant>
      <vt:variant>
        <vt:i4>5</vt:i4>
      </vt:variant>
      <vt:variant>
        <vt:lpwstr>http://www.topconpositioning.com/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TPG Press Release Template</dc:title>
  <dc:subject>This is the press release title</dc:subject>
  <dc:creator>Microsoft account</dc:creator>
  <cp:lastModifiedBy>mastop</cp:lastModifiedBy>
  <cp:revision>10</cp:revision>
  <cp:lastPrinted>2015-08-13T12:52:00Z</cp:lastPrinted>
  <dcterms:created xsi:type="dcterms:W3CDTF">2016-09-13T07:40:00Z</dcterms:created>
  <dcterms:modified xsi:type="dcterms:W3CDTF">2016-11-25T10:11:00Z</dcterms:modified>
</cp:coreProperties>
</file>